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DD594BB" w:rsidR="00C65F96" w:rsidRPr="007C0924" w:rsidRDefault="00CD714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C87361" w:rsidRPr="00C87361">
        <w:rPr>
          <w:rFonts w:eastAsia="Times New Roman"/>
          <w:b/>
          <w:bCs/>
        </w:rPr>
        <w:t>123 Oxford Street, Cumbria, LA14 5QH</w:t>
      </w:r>
      <w:r w:rsidR="00D229AE" w:rsidRPr="00D229AE">
        <w:rPr>
          <w:rFonts w:eastAsia="Times New Roman"/>
          <w:b/>
          <w:bCs/>
        </w:rPr>
        <w:t xml:space="preserve"> </w:t>
      </w:r>
      <w:r w:rsidR="00C65F96" w:rsidRPr="007C0924">
        <w:rPr>
          <w:rFonts w:eastAsia="Times New Roman"/>
          <w:b/>
          <w:bCs/>
        </w:rPr>
        <w:t>(the “Practice”)</w:t>
      </w:r>
    </w:p>
    <w:p w14:paraId="3A2FC7BE" w14:textId="6128721F" w:rsidR="00063D70" w:rsidRPr="007C0924" w:rsidRDefault="00CD714E" w:rsidP="00063D70">
      <w:pPr>
        <w:rPr>
          <w:rFonts w:eastAsia="Times New Roman"/>
          <w:b/>
          <w:bCs/>
        </w:rPr>
      </w:pPr>
      <w:r>
        <w:rPr>
          <w:rFonts w:eastAsia="Times New Roman"/>
          <w:b/>
          <w:bCs/>
        </w:rPr>
        <w:t xml:space="preserve">Boutique </w:t>
      </w:r>
      <w:r w:rsidR="007C0924">
        <w:rPr>
          <w:rFonts w:eastAsia="Times New Roman"/>
          <w:b/>
          <w:bCs/>
        </w:rPr>
        <w:t>Whitening</w:t>
      </w:r>
      <w:r w:rsidR="00391B4F" w:rsidRPr="007C0924">
        <w:rPr>
          <w:rFonts w:eastAsia="Times New Roman"/>
          <w:b/>
          <w:bCs/>
        </w:rPr>
        <w:t xml:space="preserve"> </w:t>
      </w:r>
      <w:r w:rsidR="006B5051" w:rsidRPr="007C0924">
        <w:rPr>
          <w:rFonts w:eastAsia="Times New Roman"/>
          <w:b/>
          <w:bCs/>
        </w:rPr>
        <w:t>Event</w:t>
      </w:r>
      <w:r w:rsidR="00681E71" w:rsidRPr="007C0924">
        <w:rPr>
          <w:rFonts w:eastAsia="Times New Roman"/>
          <w:b/>
          <w:bCs/>
        </w:rPr>
        <w:t xml:space="preserve"> – </w:t>
      </w:r>
      <w:r>
        <w:rPr>
          <w:rFonts w:eastAsia="Times New Roman"/>
          <w:b/>
          <w:bCs/>
        </w:rPr>
        <w:t>30</w:t>
      </w:r>
      <w:r w:rsidRPr="00CD714E">
        <w:rPr>
          <w:rFonts w:eastAsia="Times New Roman"/>
          <w:b/>
          <w:bCs/>
          <w:vertAlign w:val="superscript"/>
        </w:rPr>
        <w:t>th</w:t>
      </w:r>
      <w:r>
        <w:rPr>
          <w:rFonts w:eastAsia="Times New Roman"/>
          <w:b/>
          <w:bCs/>
        </w:rPr>
        <w:t xml:space="preserve"> </w:t>
      </w:r>
      <w:r w:rsidR="007C0924">
        <w:rPr>
          <w:rFonts w:eastAsia="Times New Roman"/>
          <w:b/>
          <w:bCs/>
        </w:rPr>
        <w:t>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2DC4EF5"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CD714E">
        <w:rPr>
          <w:rFonts w:asciiTheme="minorHAnsi" w:eastAsia="Times New Roman" w:hAnsiTheme="minorHAnsi" w:cstheme="minorHAnsi"/>
          <w:bCs/>
          <w:lang w:eastAsia="en-GB"/>
        </w:rPr>
        <w:t xml:space="preserve">Dr </w:t>
      </w:r>
      <w:r w:rsidR="00C87361">
        <w:rPr>
          <w:rFonts w:asciiTheme="minorHAnsi" w:eastAsia="Times New Roman" w:hAnsiTheme="minorHAnsi" w:cstheme="minorHAnsi"/>
          <w:bCs/>
          <w:lang w:eastAsia="en-GB"/>
        </w:rPr>
        <w:t xml:space="preserve">Tony Thomas </w:t>
      </w:r>
      <w:r w:rsidR="007C0924">
        <w:rPr>
          <w:rFonts w:asciiTheme="minorHAnsi" w:eastAsia="Times New Roman" w:hAnsiTheme="minorHAnsi" w:cstheme="minorHAnsi"/>
          <w:bCs/>
          <w:lang w:eastAsia="en-GB"/>
        </w:rPr>
        <w:t xml:space="preserve">at the practice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CD714E">
        <w:rPr>
          <w:rFonts w:asciiTheme="minorHAnsi" w:eastAsia="Times New Roman" w:hAnsiTheme="minorHAnsi" w:cstheme="minorHAnsi"/>
          <w:bCs/>
          <w:lang w:eastAsia="en-GB"/>
        </w:rPr>
        <w:t>on</w:t>
      </w:r>
      <w:r w:rsidR="007C0924">
        <w:rPr>
          <w:rFonts w:asciiTheme="minorHAnsi" w:eastAsia="Times New Roman" w:hAnsiTheme="minorHAnsi" w:cstheme="minorHAnsi"/>
          <w:bCs/>
          <w:lang w:eastAsia="en-GB"/>
        </w:rPr>
        <w:t xml:space="preserve"> the </w:t>
      </w:r>
      <w:r w:rsidR="00CD714E">
        <w:rPr>
          <w:rFonts w:asciiTheme="minorHAnsi" w:eastAsia="Times New Roman" w:hAnsiTheme="minorHAnsi" w:cstheme="minorHAnsi"/>
          <w:bCs/>
          <w:lang w:eastAsia="en-GB"/>
        </w:rPr>
        <w:t>30</w:t>
      </w:r>
      <w:r w:rsidR="007C0924" w:rsidRPr="007C0924">
        <w:rPr>
          <w:rFonts w:asciiTheme="minorHAnsi" w:eastAsia="Times New Roman" w:hAnsiTheme="minorHAnsi" w:cstheme="minorHAnsi"/>
          <w:bCs/>
          <w:vertAlign w:val="superscript"/>
          <w:lang w:eastAsia="en-GB"/>
        </w:rPr>
        <w:t>th</w:t>
      </w:r>
      <w:r w:rsidR="007C0924">
        <w:rPr>
          <w:rFonts w:asciiTheme="minorHAnsi" w:eastAsia="Times New Roman" w:hAnsiTheme="minorHAnsi" w:cstheme="minorHAnsi"/>
          <w:bCs/>
          <w:lang w:eastAsia="en-GB"/>
        </w:rPr>
        <w:t xml:space="preserve"> of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A23914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714E">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7C0924">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7C0924">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3</w:t>
      </w:r>
      <w:r w:rsidR="00DF6F9F">
        <w:rPr>
          <w:rFonts w:asciiTheme="minorHAnsi" w:eastAsia="Times New Roman" w:hAnsiTheme="minorHAnsi" w:cstheme="minorHAnsi"/>
          <w:bCs/>
          <w:lang w:eastAsia="en-GB"/>
        </w:rPr>
        <w:t>49</w:t>
      </w:r>
      <w:r w:rsidR="007C0924">
        <w:rPr>
          <w:rFonts w:asciiTheme="minorHAnsi" w:eastAsia="Times New Roman" w:hAnsiTheme="minorHAnsi" w:cstheme="minorHAnsi"/>
          <w:bCs/>
          <w:lang w:eastAsia="en-GB"/>
        </w:rPr>
        <w:t>.</w:t>
      </w:r>
    </w:p>
    <w:p w14:paraId="63F4649C" w14:textId="65CB2D69" w:rsidR="00CD714E" w:rsidRPr="00DF6F9F" w:rsidRDefault="00716E06" w:rsidP="00DF6F9F">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9E90B9D" w14:textId="69D53C7F" w:rsidR="00CD714E" w:rsidRPr="00CD714E" w:rsidRDefault="00CD714E" w:rsidP="00CD714E">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consultation worth £59. </w:t>
      </w:r>
    </w:p>
    <w:p w14:paraId="5557917F" w14:textId="36B65A13"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7C0924">
        <w:rPr>
          <w:rFonts w:eastAsia="Times New Roman"/>
        </w:rPr>
        <w:t>£</w:t>
      </w:r>
      <w:r w:rsidR="00DF6F9F">
        <w:rPr>
          <w:rFonts w:eastAsia="Times New Roman"/>
        </w:rPr>
        <w:t>5</w:t>
      </w:r>
      <w:r w:rsidR="007C0924">
        <w:rPr>
          <w:rFonts w:eastAsia="Times New Roman"/>
        </w:rPr>
        <w:t>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62BD42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w:t>
      </w:r>
      <w:r w:rsidR="007C0924">
        <w:rPr>
          <w:rFonts w:asciiTheme="minorHAnsi" w:eastAsia="Times New Roman" w:hAnsiTheme="minorHAnsi" w:cstheme="minorHAnsi"/>
          <w:bCs/>
          <w:lang w:val="en" w:eastAsia="en-GB"/>
        </w:rPr>
        <w:t>l</w:t>
      </w:r>
      <w:r w:rsidRPr="00475D9D">
        <w:rPr>
          <w:rFonts w:asciiTheme="minorHAnsi" w:eastAsia="Times New Roman" w:hAnsiTheme="minorHAnsi" w:cstheme="minorHAnsi"/>
          <w:bCs/>
          <w:lang w:val="en" w:eastAsia="en-GB"/>
        </w:rPr>
        <w:t>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109B"/>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11582"/>
    <w:rsid w:val="00626069"/>
    <w:rsid w:val="00657091"/>
    <w:rsid w:val="00681207"/>
    <w:rsid w:val="00681E71"/>
    <w:rsid w:val="006932D0"/>
    <w:rsid w:val="006B230D"/>
    <w:rsid w:val="006B5051"/>
    <w:rsid w:val="006E2F35"/>
    <w:rsid w:val="006F5474"/>
    <w:rsid w:val="00707B56"/>
    <w:rsid w:val="0071173B"/>
    <w:rsid w:val="00716E06"/>
    <w:rsid w:val="007331E3"/>
    <w:rsid w:val="007539AA"/>
    <w:rsid w:val="007C0924"/>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87361"/>
    <w:rsid w:val="00C932B2"/>
    <w:rsid w:val="00CA189E"/>
    <w:rsid w:val="00CC6CC5"/>
    <w:rsid w:val="00CD714E"/>
    <w:rsid w:val="00D229AE"/>
    <w:rsid w:val="00D8324D"/>
    <w:rsid w:val="00DB354E"/>
    <w:rsid w:val="00DB79B1"/>
    <w:rsid w:val="00DD7A02"/>
    <w:rsid w:val="00DF6F9F"/>
    <w:rsid w:val="00E34A3A"/>
    <w:rsid w:val="00E437DD"/>
    <w:rsid w:val="00E74119"/>
    <w:rsid w:val="00EC4E71"/>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2025-06-28T14:25:00Z</dcterms:created>
  <dcterms:modified xsi:type="dcterms:W3CDTF">2025-06-28T14:25:00Z</dcterms:modified>
</cp:coreProperties>
</file>